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E8BDCC" w14:textId="77777777" w:rsidR="004431CF" w:rsidRDefault="00C23827">
      <w:r>
        <w:rPr>
          <w:noProof/>
        </w:rPr>
        <w:drawing>
          <wp:anchor distT="0" distB="0" distL="114300" distR="114300" simplePos="0" relativeHeight="251658240" behindDoc="0" locked="0" layoutInCell="1" hidden="0" allowOverlap="1" wp14:anchorId="78993771" wp14:editId="28F0E65C">
            <wp:simplePos x="0" y="0"/>
            <wp:positionH relativeFrom="column">
              <wp:posOffset>-723899</wp:posOffset>
            </wp:positionH>
            <wp:positionV relativeFrom="paragraph">
              <wp:posOffset>0</wp:posOffset>
            </wp:positionV>
            <wp:extent cx="899160" cy="615950"/>
            <wp:effectExtent l="0" t="0" r="0" b="0"/>
            <wp:wrapSquare wrapText="bothSides" distT="0" distB="0" distL="114300" distR="114300"/>
            <wp:docPr id="5" name="image1.jpg" descr="INTENSIVE CARE AT HOME - Master1.jpg"/>
            <wp:cNvGraphicFramePr/>
            <a:graphic xmlns:a="http://schemas.openxmlformats.org/drawingml/2006/main">
              <a:graphicData uri="http://schemas.openxmlformats.org/drawingml/2006/picture">
                <pic:pic xmlns:pic="http://schemas.openxmlformats.org/drawingml/2006/picture">
                  <pic:nvPicPr>
                    <pic:cNvPr id="0" name="image1.jpg" descr="INTENSIVE CARE AT HOME - Master1.jpg"/>
                    <pic:cNvPicPr preferRelativeResize="0"/>
                  </pic:nvPicPr>
                  <pic:blipFill>
                    <a:blip r:embed="rId8"/>
                    <a:srcRect/>
                    <a:stretch>
                      <a:fillRect/>
                    </a:stretch>
                  </pic:blipFill>
                  <pic:spPr>
                    <a:xfrm>
                      <a:off x="0" y="0"/>
                      <a:ext cx="899160" cy="615950"/>
                    </a:xfrm>
                    <a:prstGeom prst="rect">
                      <a:avLst/>
                    </a:prstGeom>
                    <a:ln/>
                  </pic:spPr>
                </pic:pic>
              </a:graphicData>
            </a:graphic>
          </wp:anchor>
        </w:drawing>
      </w:r>
    </w:p>
    <w:p w14:paraId="1BC5F050" w14:textId="77777777" w:rsidR="004431CF" w:rsidRDefault="004431CF"/>
    <w:p w14:paraId="13A0DF31" w14:textId="77777777" w:rsidR="004431CF" w:rsidRDefault="004431CF"/>
    <w:p w14:paraId="1D9F2223" w14:textId="77777777" w:rsidR="004431CF" w:rsidRDefault="00C23827">
      <w:pPr>
        <w:spacing w:line="360" w:lineRule="auto"/>
        <w:rPr>
          <w:rFonts w:ascii="Century Gothic" w:eastAsia="Century Gothic" w:hAnsi="Century Gothic" w:cs="Century Gothic"/>
          <w:b/>
        </w:rPr>
      </w:pPr>
      <w:r>
        <w:rPr>
          <w:rFonts w:ascii="Century Gothic" w:eastAsia="Century Gothic" w:hAnsi="Century Gothic" w:cs="Century Gothic"/>
          <w:b/>
        </w:rPr>
        <w:t>Background</w:t>
      </w:r>
    </w:p>
    <w:p w14:paraId="7CED4931" w14:textId="77777777" w:rsidR="004431CF" w:rsidRDefault="00C23827">
      <w:pPr>
        <w:spacing w:line="360" w:lineRule="auto"/>
        <w:rPr>
          <w:rFonts w:ascii="Century Gothic" w:eastAsia="Century Gothic" w:hAnsi="Century Gothic" w:cs="Century Gothic"/>
        </w:rPr>
      </w:pPr>
      <w:r>
        <w:rPr>
          <w:rFonts w:ascii="Century Gothic" w:eastAsia="Century Gothic" w:hAnsi="Century Gothic" w:cs="Century Gothic"/>
        </w:rPr>
        <w:t>A fundamental principle in the secure management of Schedule 4 Restricted and Schedule 8 medicines is that there are accurate and complete records of all transactions involving these medicines, including when they are being administered to Clients. Records</w:t>
      </w:r>
      <w:r>
        <w:rPr>
          <w:rFonts w:ascii="Century Gothic" w:eastAsia="Century Gothic" w:hAnsi="Century Gothic" w:cs="Century Gothic"/>
        </w:rPr>
        <w:t xml:space="preserve"> must be able to show the ‘chain of custody’ has been maintained and allow later audit to be undertaken. For Schedule 8 medicines, the Medicines and Poisons Regulations 2016 require a Client specific record in a Schedule 8 register. Whenever a Schedule 8 m</w:t>
      </w:r>
      <w:r>
        <w:rPr>
          <w:rFonts w:ascii="Century Gothic" w:eastAsia="Century Gothic" w:hAnsi="Century Gothic" w:cs="Century Gothic"/>
        </w:rPr>
        <w:t>edicine is administered to a Client. Leftover amounts of Schedule 4 Restricted and Schedule 8 medicines, associated with administration to a Client, such as partly used ampoules or partly administered infusions, are recognised as a diversion risk. Intensiv</w:t>
      </w:r>
      <w:r>
        <w:rPr>
          <w:rFonts w:ascii="Century Gothic" w:eastAsia="Century Gothic" w:hAnsi="Century Gothic" w:cs="Century Gothic"/>
        </w:rPr>
        <w:t xml:space="preserve">e Care at Home (ICAH) recognizes that some of our Clients are prescribed Schedule 4 and 8 medications and therefore intends to follow the guidelines and recommendations regarding the safety and management of these drugs. </w:t>
      </w:r>
    </w:p>
    <w:p w14:paraId="361DCAA6" w14:textId="77777777" w:rsidR="004431CF" w:rsidRDefault="00C23827">
      <w:pPr>
        <w:spacing w:line="360" w:lineRule="auto"/>
        <w:rPr>
          <w:rFonts w:ascii="Century Gothic" w:eastAsia="Century Gothic" w:hAnsi="Century Gothic" w:cs="Century Gothic"/>
          <w:b/>
        </w:rPr>
      </w:pPr>
      <w:r>
        <w:rPr>
          <w:rFonts w:ascii="Century Gothic" w:eastAsia="Century Gothic" w:hAnsi="Century Gothic" w:cs="Century Gothic"/>
          <w:b/>
        </w:rPr>
        <w:t>Aim</w:t>
      </w:r>
    </w:p>
    <w:p w14:paraId="2FF400DF" w14:textId="77777777" w:rsidR="004431CF" w:rsidRDefault="00C23827">
      <w:pPr>
        <w:spacing w:line="360" w:lineRule="auto"/>
        <w:rPr>
          <w:rFonts w:ascii="Century Gothic" w:eastAsia="Century Gothic" w:hAnsi="Century Gothic" w:cs="Century Gothic"/>
        </w:rPr>
      </w:pPr>
      <w:r>
        <w:rPr>
          <w:rFonts w:ascii="Century Gothic" w:eastAsia="Century Gothic" w:hAnsi="Century Gothic" w:cs="Century Gothic"/>
        </w:rPr>
        <w:t>This Policy is intended to sup</w:t>
      </w:r>
      <w:r>
        <w:rPr>
          <w:rFonts w:ascii="Century Gothic" w:eastAsia="Century Gothic" w:hAnsi="Century Gothic" w:cs="Century Gothic"/>
        </w:rPr>
        <w:t>port the development of workable and consistent policies about managing administration of Schedule 4 Restricted and Schedule 8 medicines, from the perspective of managing risks with administration, misappropriation, and diversion. This policy is intended t</w:t>
      </w:r>
      <w:r>
        <w:rPr>
          <w:rFonts w:ascii="Century Gothic" w:eastAsia="Century Gothic" w:hAnsi="Century Gothic" w:cs="Century Gothic"/>
        </w:rPr>
        <w:t xml:space="preserve">o be read in conjunction with the Medication Administration and Management policy. </w:t>
      </w:r>
    </w:p>
    <w:p w14:paraId="3ED23830" w14:textId="77777777" w:rsidR="004431CF" w:rsidRDefault="00C23827">
      <w:pPr>
        <w:rPr>
          <w:rFonts w:ascii="Century Gothic" w:eastAsia="Century Gothic" w:hAnsi="Century Gothic" w:cs="Century Gothic"/>
          <w:b/>
        </w:rPr>
      </w:pPr>
      <w:r>
        <w:rPr>
          <w:rFonts w:ascii="Century Gothic" w:eastAsia="Century Gothic" w:hAnsi="Century Gothic" w:cs="Century Gothic"/>
          <w:b/>
        </w:rPr>
        <w:t>Administration</w:t>
      </w:r>
    </w:p>
    <w:p w14:paraId="21C266BA" w14:textId="77777777" w:rsidR="004431CF" w:rsidRDefault="00C23827">
      <w:pPr>
        <w:spacing w:line="360" w:lineRule="auto"/>
        <w:rPr>
          <w:rFonts w:ascii="Century Gothic" w:eastAsia="Century Gothic" w:hAnsi="Century Gothic" w:cs="Century Gothic"/>
        </w:rPr>
      </w:pPr>
      <w:r>
        <w:rPr>
          <w:rFonts w:ascii="Century Gothic" w:eastAsia="Century Gothic" w:hAnsi="Century Gothic" w:cs="Century Gothic"/>
        </w:rPr>
        <w:t>Before administering scheduled medications, ICAH Nurses will observe the requirements of medication administration per Medication Management and Administrati</w:t>
      </w:r>
      <w:r>
        <w:rPr>
          <w:rFonts w:ascii="Century Gothic" w:eastAsia="Century Gothic" w:hAnsi="Century Gothic" w:cs="Century Gothic"/>
        </w:rPr>
        <w:t xml:space="preserve">on policy 15.0. Check the medication chart for a current order and Sign the DD register appropriately to indicate retrieval of the medication. Follow the 7 rights of medication administration per policy. </w:t>
      </w:r>
    </w:p>
    <w:p w14:paraId="39EBA684" w14:textId="77777777" w:rsidR="004431CF" w:rsidRDefault="00C23827">
      <w:pPr>
        <w:numPr>
          <w:ilvl w:val="0"/>
          <w:numId w:val="3"/>
        </w:numPr>
        <w:pBdr>
          <w:top w:val="nil"/>
          <w:left w:val="nil"/>
          <w:bottom w:val="nil"/>
          <w:right w:val="nil"/>
          <w:between w:val="nil"/>
        </w:pBdr>
        <w:spacing w:after="0" w:line="360" w:lineRule="auto"/>
        <w:rPr>
          <w:rFonts w:ascii="Century Gothic" w:eastAsia="Century Gothic" w:hAnsi="Century Gothic" w:cs="Century Gothic"/>
          <w:color w:val="000000"/>
        </w:rPr>
      </w:pPr>
      <w:r>
        <w:rPr>
          <w:rFonts w:ascii="Century Gothic" w:eastAsia="Century Gothic" w:hAnsi="Century Gothic" w:cs="Century Gothic"/>
          <w:color w:val="000000"/>
        </w:rPr>
        <w:t>Wash hands</w:t>
      </w:r>
    </w:p>
    <w:p w14:paraId="205FF198" w14:textId="77777777" w:rsidR="004431CF" w:rsidRDefault="00C23827">
      <w:pPr>
        <w:numPr>
          <w:ilvl w:val="0"/>
          <w:numId w:val="3"/>
        </w:numPr>
        <w:pBdr>
          <w:top w:val="nil"/>
          <w:left w:val="nil"/>
          <w:bottom w:val="nil"/>
          <w:right w:val="nil"/>
          <w:between w:val="nil"/>
        </w:pBdr>
        <w:spacing w:after="0"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Organise equipment. </w:t>
      </w:r>
    </w:p>
    <w:p w14:paraId="1BC40D51" w14:textId="77777777" w:rsidR="004431CF" w:rsidRDefault="00C23827">
      <w:pPr>
        <w:numPr>
          <w:ilvl w:val="0"/>
          <w:numId w:val="3"/>
        </w:numPr>
        <w:pBdr>
          <w:top w:val="nil"/>
          <w:left w:val="nil"/>
          <w:bottom w:val="nil"/>
          <w:right w:val="nil"/>
          <w:between w:val="nil"/>
        </w:pBdr>
        <w:spacing w:after="0" w:line="360" w:lineRule="auto"/>
        <w:rPr>
          <w:rFonts w:ascii="Century Gothic" w:eastAsia="Century Gothic" w:hAnsi="Century Gothic" w:cs="Century Gothic"/>
          <w:color w:val="000000"/>
        </w:rPr>
      </w:pPr>
      <w:r>
        <w:rPr>
          <w:rFonts w:ascii="Century Gothic" w:eastAsia="Century Gothic" w:hAnsi="Century Gothic" w:cs="Century Gothic"/>
          <w:color w:val="000000"/>
        </w:rPr>
        <w:t>Check legality of m</w:t>
      </w:r>
      <w:r>
        <w:rPr>
          <w:rFonts w:ascii="Century Gothic" w:eastAsia="Century Gothic" w:hAnsi="Century Gothic" w:cs="Century Gothic"/>
          <w:color w:val="000000"/>
        </w:rPr>
        <w:t xml:space="preserve">edication order and check for allergies. </w:t>
      </w:r>
    </w:p>
    <w:p w14:paraId="4B3F9FA3" w14:textId="77777777" w:rsidR="004431CF" w:rsidRDefault="00C23827">
      <w:pPr>
        <w:numPr>
          <w:ilvl w:val="0"/>
          <w:numId w:val="3"/>
        </w:numPr>
        <w:pBdr>
          <w:top w:val="nil"/>
          <w:left w:val="nil"/>
          <w:bottom w:val="nil"/>
          <w:right w:val="nil"/>
          <w:between w:val="nil"/>
        </w:pBdr>
        <w:spacing w:after="0" w:line="360" w:lineRule="auto"/>
        <w:rPr>
          <w:rFonts w:ascii="Century Gothic" w:eastAsia="Century Gothic" w:hAnsi="Century Gothic" w:cs="Century Gothic"/>
          <w:color w:val="000000"/>
        </w:rPr>
      </w:pPr>
      <w:r>
        <w:rPr>
          <w:rFonts w:ascii="Century Gothic" w:eastAsia="Century Gothic" w:hAnsi="Century Gothic" w:cs="Century Gothic"/>
          <w:color w:val="000000"/>
        </w:rPr>
        <w:lastRenderedPageBreak/>
        <w:t>Note Client’s pain and sedation score, time of last dose and maximum daily dose.</w:t>
      </w:r>
    </w:p>
    <w:p w14:paraId="62DC076E" w14:textId="77777777" w:rsidR="004431CF" w:rsidRDefault="00C23827">
      <w:pPr>
        <w:numPr>
          <w:ilvl w:val="0"/>
          <w:numId w:val="3"/>
        </w:numPr>
        <w:pBdr>
          <w:top w:val="nil"/>
          <w:left w:val="nil"/>
          <w:bottom w:val="nil"/>
          <w:right w:val="nil"/>
          <w:between w:val="nil"/>
        </w:pBdr>
        <w:spacing w:after="0" w:line="360" w:lineRule="auto"/>
        <w:rPr>
          <w:rFonts w:ascii="Century Gothic" w:eastAsia="Century Gothic" w:hAnsi="Century Gothic" w:cs="Century Gothic"/>
          <w:color w:val="000000"/>
        </w:rPr>
      </w:pPr>
      <w:r>
        <w:rPr>
          <w:rFonts w:ascii="Century Gothic" w:eastAsia="Century Gothic" w:hAnsi="Century Gothic" w:cs="Century Gothic"/>
          <w:color w:val="000000"/>
        </w:rPr>
        <w:t>At the DD cupboard, the RN must: a. Read the medication order and select appropriate drug (1st check). b. Check expiry date. c. Check</w:t>
      </w:r>
      <w:r>
        <w:rPr>
          <w:rFonts w:ascii="Century Gothic" w:eastAsia="Century Gothic" w:hAnsi="Century Gothic" w:cs="Century Gothic"/>
          <w:color w:val="000000"/>
        </w:rPr>
        <w:t xml:space="preserve"> drug label against medication order (2nd check). d. Calculate the ordered dose. e. Complete the Drug Register. f. Check and verify balance between Drug Register and counted items in cupboard. g. Remove correct dosage hygienically (if oral medication) OR h</w:t>
      </w:r>
      <w:r>
        <w:rPr>
          <w:rFonts w:ascii="Century Gothic" w:eastAsia="Century Gothic" w:hAnsi="Century Gothic" w:cs="Century Gothic"/>
          <w:color w:val="000000"/>
        </w:rPr>
        <w:t xml:space="preserve">. Draw up dosage aseptically (if medication for injection) and syringe in accordance. </w:t>
      </w:r>
    </w:p>
    <w:p w14:paraId="2E15F149" w14:textId="77777777" w:rsidR="004431CF" w:rsidRDefault="00C23827">
      <w:pPr>
        <w:numPr>
          <w:ilvl w:val="0"/>
          <w:numId w:val="3"/>
        </w:numPr>
        <w:pBdr>
          <w:top w:val="nil"/>
          <w:left w:val="nil"/>
          <w:bottom w:val="nil"/>
          <w:right w:val="nil"/>
          <w:between w:val="nil"/>
        </w:pBdr>
        <w:spacing w:after="0"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Carry out general preparation, informing Client (or guardian) what the medication is, why you are giving it, and any possible side-effects.</w:t>
      </w:r>
    </w:p>
    <w:p w14:paraId="1AD64DB2" w14:textId="77777777" w:rsidR="004431CF" w:rsidRDefault="00C23827">
      <w:pPr>
        <w:numPr>
          <w:ilvl w:val="0"/>
          <w:numId w:val="3"/>
        </w:numPr>
        <w:pBdr>
          <w:top w:val="nil"/>
          <w:left w:val="nil"/>
          <w:bottom w:val="nil"/>
          <w:right w:val="nil"/>
          <w:between w:val="nil"/>
        </w:pBdr>
        <w:spacing w:after="0" w:line="360" w:lineRule="auto"/>
        <w:rPr>
          <w:rFonts w:ascii="Century Gothic" w:eastAsia="Century Gothic" w:hAnsi="Century Gothic" w:cs="Century Gothic"/>
          <w:color w:val="000000"/>
        </w:rPr>
      </w:pPr>
      <w:r>
        <w:rPr>
          <w:rFonts w:ascii="Century Gothic" w:eastAsia="Century Gothic" w:hAnsi="Century Gothic" w:cs="Century Gothic"/>
          <w:color w:val="000000"/>
        </w:rPr>
        <w:t>Administer medication approp</w:t>
      </w:r>
      <w:r>
        <w:rPr>
          <w:rFonts w:ascii="Century Gothic" w:eastAsia="Century Gothic" w:hAnsi="Century Gothic" w:cs="Century Gothic"/>
          <w:color w:val="000000"/>
        </w:rPr>
        <w:t>riately.</w:t>
      </w:r>
    </w:p>
    <w:p w14:paraId="2A6F66C7" w14:textId="77777777" w:rsidR="004431CF" w:rsidRDefault="00C23827">
      <w:pPr>
        <w:numPr>
          <w:ilvl w:val="0"/>
          <w:numId w:val="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Document medication administration. </w:t>
      </w:r>
    </w:p>
    <w:p w14:paraId="0EC6B437" w14:textId="77777777" w:rsidR="004431CF" w:rsidRDefault="00C23827">
      <w:pPr>
        <w:spacing w:line="360" w:lineRule="auto"/>
        <w:rPr>
          <w:rFonts w:ascii="Century Gothic" w:eastAsia="Century Gothic" w:hAnsi="Century Gothic" w:cs="Century Gothic"/>
          <w:b/>
        </w:rPr>
      </w:pPr>
      <w:r>
        <w:rPr>
          <w:rFonts w:ascii="Century Gothic" w:eastAsia="Century Gothic" w:hAnsi="Century Gothic" w:cs="Century Gothic"/>
          <w:b/>
        </w:rPr>
        <w:t>Storage</w:t>
      </w:r>
    </w:p>
    <w:p w14:paraId="77FC663D" w14:textId="77777777" w:rsidR="004431CF" w:rsidRDefault="00C23827">
      <w:pPr>
        <w:spacing w:line="360" w:lineRule="auto"/>
        <w:rPr>
          <w:rFonts w:ascii="Century Gothic" w:eastAsia="Century Gothic" w:hAnsi="Century Gothic" w:cs="Century Gothic"/>
        </w:rPr>
      </w:pPr>
      <w:r>
        <w:rPr>
          <w:rFonts w:ascii="Century Gothic" w:eastAsia="Century Gothic" w:hAnsi="Century Gothic" w:cs="Century Gothic"/>
        </w:rPr>
        <w:t>S4 and S8 scheduled drugs like any other medication should be stored out of reach in a specified area. Regulations require S4 and S8 drugs to be stored in a locked cupboard or in a locked room or a locked drawer. ICAH has provided locked safe boxes for Cli</w:t>
      </w:r>
      <w:r>
        <w:rPr>
          <w:rFonts w:ascii="Century Gothic" w:eastAsia="Century Gothic" w:hAnsi="Century Gothic" w:cs="Century Gothic"/>
        </w:rPr>
        <w:t>ents who do not have listed options for safe storage of S4 and S8 Drugs. It is the responsibility of ICAH Nurses to ensure that:</w:t>
      </w:r>
    </w:p>
    <w:p w14:paraId="28EB1E35" w14:textId="77777777" w:rsidR="004431CF" w:rsidRDefault="00C23827">
      <w:pPr>
        <w:numPr>
          <w:ilvl w:val="0"/>
          <w:numId w:val="6"/>
        </w:numPr>
        <w:pBdr>
          <w:top w:val="nil"/>
          <w:left w:val="nil"/>
          <w:bottom w:val="nil"/>
          <w:right w:val="nil"/>
          <w:between w:val="nil"/>
        </w:pBdr>
        <w:spacing w:after="0" w:line="360" w:lineRule="auto"/>
        <w:rPr>
          <w:rFonts w:ascii="Arial" w:eastAsia="Arial" w:hAnsi="Arial" w:cs="Arial"/>
          <w:color w:val="000000"/>
          <w:sz w:val="28"/>
          <w:szCs w:val="28"/>
        </w:rPr>
      </w:pPr>
      <w:r>
        <w:rPr>
          <w:rFonts w:ascii="Century Gothic" w:eastAsia="Century Gothic" w:hAnsi="Century Gothic" w:cs="Century Gothic"/>
          <w:color w:val="000000"/>
        </w:rPr>
        <w:t xml:space="preserve">The box is always locked and stored in specified area, alternatively, the locked cupboard provided by the Client stays locked. </w:t>
      </w:r>
    </w:p>
    <w:p w14:paraId="5EF2AE65" w14:textId="77777777" w:rsidR="004431CF" w:rsidRDefault="00C23827">
      <w:pPr>
        <w:numPr>
          <w:ilvl w:val="0"/>
          <w:numId w:val="6"/>
        </w:numPr>
        <w:pBdr>
          <w:top w:val="nil"/>
          <w:left w:val="nil"/>
          <w:bottom w:val="nil"/>
          <w:right w:val="nil"/>
          <w:between w:val="nil"/>
        </w:pBdr>
        <w:spacing w:line="360" w:lineRule="auto"/>
        <w:rPr>
          <w:rFonts w:ascii="Arial" w:eastAsia="Arial" w:hAnsi="Arial" w:cs="Arial"/>
          <w:color w:val="000000"/>
          <w:sz w:val="28"/>
          <w:szCs w:val="28"/>
        </w:rPr>
      </w:pPr>
      <w:r>
        <w:rPr>
          <w:rFonts w:ascii="Century Gothic" w:eastAsia="Century Gothic" w:hAnsi="Century Gothic" w:cs="Century Gothic"/>
          <w:color w:val="000000"/>
        </w:rPr>
        <w:t xml:space="preserve">Only the CCRN has access to the keys for the box or </w:t>
      </w:r>
      <w:proofErr w:type="gramStart"/>
      <w:r>
        <w:rPr>
          <w:rFonts w:ascii="Century Gothic" w:eastAsia="Century Gothic" w:hAnsi="Century Gothic" w:cs="Century Gothic"/>
          <w:color w:val="000000"/>
        </w:rPr>
        <w:t>cupboard</w:t>
      </w:r>
      <w:proofErr w:type="gramEnd"/>
      <w:r>
        <w:rPr>
          <w:rFonts w:ascii="Century Gothic" w:eastAsia="Century Gothic" w:hAnsi="Century Gothic" w:cs="Century Gothic"/>
          <w:color w:val="000000"/>
        </w:rPr>
        <w:t xml:space="preserve">                                                                      </w:t>
      </w:r>
    </w:p>
    <w:p w14:paraId="1F193C0C" w14:textId="77777777" w:rsidR="004431CF" w:rsidRDefault="00C23827">
      <w:pPr>
        <w:rPr>
          <w:rFonts w:ascii="Century Gothic" w:eastAsia="Century Gothic" w:hAnsi="Century Gothic" w:cs="Century Gothic"/>
          <w:b/>
        </w:rPr>
      </w:pPr>
      <w:r>
        <w:rPr>
          <w:rFonts w:ascii="Century Gothic" w:eastAsia="Century Gothic" w:hAnsi="Century Gothic" w:cs="Century Gothic"/>
          <w:b/>
        </w:rPr>
        <w:t>Handover</w:t>
      </w:r>
    </w:p>
    <w:p w14:paraId="26216CA8" w14:textId="77777777" w:rsidR="004431CF" w:rsidRDefault="00C23827">
      <w:pPr>
        <w:spacing w:line="360" w:lineRule="auto"/>
        <w:rPr>
          <w:rFonts w:ascii="Century Gothic" w:eastAsia="Century Gothic" w:hAnsi="Century Gothic" w:cs="Century Gothic"/>
        </w:rPr>
      </w:pPr>
      <w:r>
        <w:rPr>
          <w:rFonts w:ascii="Century Gothic" w:eastAsia="Century Gothic" w:hAnsi="Century Gothic" w:cs="Century Gothic"/>
        </w:rPr>
        <w:t xml:space="preserve">Drugs of addiction are counted at each change of shift by two </w:t>
      </w:r>
      <w:proofErr w:type="gramStart"/>
      <w:r>
        <w:rPr>
          <w:rFonts w:ascii="Century Gothic" w:eastAsia="Century Gothic" w:hAnsi="Century Gothic" w:cs="Century Gothic"/>
        </w:rPr>
        <w:t>staff</w:t>
      </w:r>
      <w:proofErr w:type="gramEnd"/>
      <w:r>
        <w:rPr>
          <w:rFonts w:ascii="Century Gothic" w:eastAsia="Century Gothic" w:hAnsi="Century Gothic" w:cs="Century Gothic"/>
        </w:rPr>
        <w:t xml:space="preserve"> and it is an expectation that it is part of eac</w:t>
      </w:r>
      <w:r>
        <w:rPr>
          <w:rFonts w:ascii="Century Gothic" w:eastAsia="Century Gothic" w:hAnsi="Century Gothic" w:cs="Century Gothic"/>
        </w:rPr>
        <w:t xml:space="preserve">h clinical handover. Documentation of the count is recorded in the DD book. During the check, staff must visualise and verbalise the count and note the: </w:t>
      </w:r>
    </w:p>
    <w:p w14:paraId="6B5229C4" w14:textId="77777777" w:rsidR="004431CF" w:rsidRDefault="00C23827">
      <w:pPr>
        <w:numPr>
          <w:ilvl w:val="0"/>
          <w:numId w:val="7"/>
        </w:numPr>
        <w:pBdr>
          <w:top w:val="nil"/>
          <w:left w:val="nil"/>
          <w:bottom w:val="nil"/>
          <w:right w:val="nil"/>
          <w:between w:val="nil"/>
        </w:pBdr>
        <w:spacing w:after="0" w:line="360" w:lineRule="auto"/>
        <w:rPr>
          <w:rFonts w:ascii="Century Gothic" w:eastAsia="Century Gothic" w:hAnsi="Century Gothic" w:cs="Century Gothic"/>
          <w:color w:val="000000"/>
        </w:rPr>
      </w:pPr>
      <w:r>
        <w:rPr>
          <w:rFonts w:ascii="Century Gothic" w:eastAsia="Century Gothic" w:hAnsi="Century Gothic" w:cs="Century Gothic"/>
          <w:color w:val="000000"/>
        </w:rPr>
        <w:t>Drug type, strength, the quantity against the register, expiry date and if the containers are intact.</w:t>
      </w:r>
    </w:p>
    <w:p w14:paraId="4A194202" w14:textId="77777777" w:rsidR="004431CF" w:rsidRDefault="00C23827">
      <w:pPr>
        <w:numPr>
          <w:ilvl w:val="0"/>
          <w:numId w:val="7"/>
        </w:numPr>
        <w:pBdr>
          <w:top w:val="nil"/>
          <w:left w:val="nil"/>
          <w:bottom w:val="nil"/>
          <w:right w:val="nil"/>
          <w:between w:val="nil"/>
        </w:pBdr>
        <w:spacing w:after="0"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Signatures of both persons checking the drugs in the Drugs of Addiction Book. Both Nurses must write their names in full along with their signature. </w:t>
      </w:r>
    </w:p>
    <w:p w14:paraId="46061FAB" w14:textId="77777777" w:rsidR="004431CF" w:rsidRDefault="00C23827">
      <w:pPr>
        <w:numPr>
          <w:ilvl w:val="0"/>
          <w:numId w:val="7"/>
        </w:numPr>
        <w:pBdr>
          <w:top w:val="nil"/>
          <w:left w:val="nil"/>
          <w:bottom w:val="nil"/>
          <w:right w:val="nil"/>
          <w:between w:val="nil"/>
        </w:pBdr>
        <w:spacing w:after="0" w:line="360" w:lineRule="auto"/>
        <w:rPr>
          <w:rFonts w:ascii="Century Gothic" w:eastAsia="Century Gothic" w:hAnsi="Century Gothic" w:cs="Century Gothic"/>
          <w:color w:val="000000"/>
        </w:rPr>
      </w:pPr>
      <w:r>
        <w:rPr>
          <w:rFonts w:ascii="Century Gothic" w:eastAsia="Century Gothic" w:hAnsi="Century Gothic" w:cs="Century Gothic"/>
          <w:color w:val="000000"/>
        </w:rPr>
        <w:lastRenderedPageBreak/>
        <w:t xml:space="preserve">The </w:t>
      </w:r>
      <w:r>
        <w:rPr>
          <w:rFonts w:ascii="Century Gothic" w:eastAsia="Century Gothic" w:hAnsi="Century Gothic" w:cs="Century Gothic"/>
          <w:color w:val="000000"/>
        </w:rPr>
        <w:t>word nil must be stated in the DD book if there are no drugs of a particular strength being held within the cabinet, “0” is unacceptable.</w:t>
      </w:r>
    </w:p>
    <w:p w14:paraId="73F9ADE6" w14:textId="77777777" w:rsidR="004431CF" w:rsidRDefault="00C23827">
      <w:pPr>
        <w:pBdr>
          <w:top w:val="nil"/>
          <w:left w:val="nil"/>
          <w:bottom w:val="nil"/>
          <w:right w:val="nil"/>
          <w:between w:val="nil"/>
        </w:pBdr>
        <w:spacing w:line="360" w:lineRule="auto"/>
        <w:rPr>
          <w:rFonts w:ascii="Century Gothic" w:eastAsia="Century Gothic" w:hAnsi="Century Gothic" w:cs="Century Gothic"/>
          <w:b/>
        </w:rPr>
      </w:pPr>
      <w:r>
        <w:rPr>
          <w:rFonts w:ascii="Century Gothic" w:eastAsia="Century Gothic" w:hAnsi="Century Gothic" w:cs="Century Gothic"/>
          <w:b/>
        </w:rPr>
        <w:t>Drug Miscount</w:t>
      </w:r>
    </w:p>
    <w:p w14:paraId="4C913508" w14:textId="77777777" w:rsidR="004431CF" w:rsidRDefault="00C23827">
      <w:pPr>
        <w:pBdr>
          <w:top w:val="nil"/>
          <w:left w:val="nil"/>
          <w:bottom w:val="nil"/>
          <w:right w:val="nil"/>
          <w:between w:val="nil"/>
        </w:pBdr>
        <w:spacing w:line="360" w:lineRule="auto"/>
        <w:rPr>
          <w:rFonts w:ascii="Century Gothic" w:eastAsia="Century Gothic" w:hAnsi="Century Gothic" w:cs="Century Gothic"/>
        </w:rPr>
      </w:pPr>
      <w:bookmarkStart w:id="0" w:name="_heading=h.okb06ee4me2x" w:colFirst="0" w:colLast="0"/>
      <w:bookmarkEnd w:id="0"/>
      <w:r>
        <w:rPr>
          <w:rFonts w:ascii="Century Gothic" w:eastAsia="Century Gothic" w:hAnsi="Century Gothic" w:cs="Century Gothic"/>
        </w:rPr>
        <w:t>If the count does not equate what is documented:</w:t>
      </w:r>
    </w:p>
    <w:p w14:paraId="79AC6412" w14:textId="77777777" w:rsidR="004431CF" w:rsidRDefault="00C23827">
      <w:pPr>
        <w:numPr>
          <w:ilvl w:val="0"/>
          <w:numId w:val="4"/>
        </w:numPr>
        <w:pBdr>
          <w:top w:val="nil"/>
          <w:left w:val="nil"/>
          <w:bottom w:val="nil"/>
          <w:right w:val="nil"/>
          <w:between w:val="nil"/>
        </w:pBdr>
        <w:spacing w:after="0" w:line="360" w:lineRule="auto"/>
        <w:rPr>
          <w:rFonts w:ascii="Century Gothic" w:eastAsia="Century Gothic" w:hAnsi="Century Gothic" w:cs="Century Gothic"/>
        </w:rPr>
      </w:pPr>
      <w:bookmarkStart w:id="1" w:name="_heading=h.j13i3dlcmpau" w:colFirst="0" w:colLast="0"/>
      <w:bookmarkEnd w:id="1"/>
      <w:r>
        <w:rPr>
          <w:rFonts w:ascii="Century Gothic" w:eastAsia="Century Gothic" w:hAnsi="Century Gothic" w:cs="Century Gothic"/>
        </w:rPr>
        <w:t xml:space="preserve">The count is less than what is </w:t>
      </w:r>
      <w:proofErr w:type="gramStart"/>
      <w:r>
        <w:rPr>
          <w:rFonts w:ascii="Century Gothic" w:eastAsia="Century Gothic" w:hAnsi="Century Gothic" w:cs="Century Gothic"/>
        </w:rPr>
        <w:t>documented</w:t>
      </w:r>
      <w:proofErr w:type="gramEnd"/>
    </w:p>
    <w:p w14:paraId="65880384" w14:textId="77777777" w:rsidR="004431CF" w:rsidRDefault="00C23827">
      <w:pPr>
        <w:numPr>
          <w:ilvl w:val="0"/>
          <w:numId w:val="8"/>
        </w:numPr>
        <w:pBdr>
          <w:top w:val="nil"/>
          <w:left w:val="nil"/>
          <w:bottom w:val="nil"/>
          <w:right w:val="nil"/>
          <w:between w:val="nil"/>
        </w:pBdr>
        <w:spacing w:after="0" w:line="360" w:lineRule="auto"/>
        <w:rPr>
          <w:rFonts w:ascii="Century Gothic" w:eastAsia="Century Gothic" w:hAnsi="Century Gothic" w:cs="Century Gothic"/>
        </w:rPr>
      </w:pPr>
      <w:bookmarkStart w:id="2" w:name="_heading=h.upovlkxdaroe" w:colFirst="0" w:colLast="0"/>
      <w:bookmarkEnd w:id="2"/>
      <w:r>
        <w:rPr>
          <w:rFonts w:ascii="Century Gothic" w:eastAsia="Century Gothic" w:hAnsi="Century Gothic" w:cs="Century Gothic"/>
        </w:rPr>
        <w:t xml:space="preserve">Recheck /repeat </w:t>
      </w:r>
      <w:proofErr w:type="gramStart"/>
      <w:r>
        <w:rPr>
          <w:rFonts w:ascii="Century Gothic" w:eastAsia="Century Gothic" w:hAnsi="Century Gothic" w:cs="Century Gothic"/>
        </w:rPr>
        <w:t>count</w:t>
      </w:r>
      <w:proofErr w:type="gramEnd"/>
    </w:p>
    <w:p w14:paraId="2DFBDE42" w14:textId="77777777" w:rsidR="004431CF" w:rsidRDefault="00C23827">
      <w:pPr>
        <w:numPr>
          <w:ilvl w:val="0"/>
          <w:numId w:val="8"/>
        </w:numPr>
        <w:pBdr>
          <w:top w:val="nil"/>
          <w:left w:val="nil"/>
          <w:bottom w:val="nil"/>
          <w:right w:val="nil"/>
          <w:between w:val="nil"/>
        </w:pBdr>
        <w:spacing w:after="0" w:line="360" w:lineRule="auto"/>
        <w:rPr>
          <w:rFonts w:ascii="Century Gothic" w:eastAsia="Century Gothic" w:hAnsi="Century Gothic" w:cs="Century Gothic"/>
        </w:rPr>
      </w:pPr>
      <w:bookmarkStart w:id="3" w:name="_heading=h.7pcxa635h51t" w:colFirst="0" w:colLast="0"/>
      <w:bookmarkEnd w:id="3"/>
      <w:r>
        <w:rPr>
          <w:rFonts w:ascii="Century Gothic" w:eastAsia="Century Gothic" w:hAnsi="Century Gothic" w:cs="Century Gothic"/>
        </w:rPr>
        <w:t>check previous counts and administration documentation for any errors.</w:t>
      </w:r>
    </w:p>
    <w:p w14:paraId="328A54C2" w14:textId="77777777" w:rsidR="004431CF" w:rsidRDefault="00C23827">
      <w:pPr>
        <w:numPr>
          <w:ilvl w:val="0"/>
          <w:numId w:val="8"/>
        </w:numPr>
        <w:pBdr>
          <w:top w:val="nil"/>
          <w:left w:val="nil"/>
          <w:bottom w:val="nil"/>
          <w:right w:val="nil"/>
          <w:between w:val="nil"/>
        </w:pBdr>
        <w:spacing w:after="0" w:line="360" w:lineRule="auto"/>
        <w:rPr>
          <w:rFonts w:ascii="Century Gothic" w:eastAsia="Century Gothic" w:hAnsi="Century Gothic" w:cs="Century Gothic"/>
        </w:rPr>
      </w:pPr>
      <w:bookmarkStart w:id="4" w:name="_heading=h.og2xqjkavmkk" w:colFirst="0" w:colLast="0"/>
      <w:bookmarkEnd w:id="4"/>
      <w:r>
        <w:rPr>
          <w:rFonts w:ascii="Century Gothic" w:eastAsia="Century Gothic" w:hAnsi="Century Gothic" w:cs="Century Gothic"/>
        </w:rPr>
        <w:t xml:space="preserve">Clarify any administration during the shift with off going </w:t>
      </w:r>
      <w:proofErr w:type="spellStart"/>
      <w:r>
        <w:rPr>
          <w:rFonts w:ascii="Century Gothic" w:eastAsia="Century Gothic" w:hAnsi="Century Gothic" w:cs="Century Gothic"/>
        </w:rPr>
        <w:t>Nurseas</w:t>
      </w:r>
      <w:proofErr w:type="spellEnd"/>
      <w:r>
        <w:rPr>
          <w:rFonts w:ascii="Century Gothic" w:eastAsia="Century Gothic" w:hAnsi="Century Gothic" w:cs="Century Gothic"/>
        </w:rPr>
        <w:t xml:space="preserve"> indicated on </w:t>
      </w:r>
      <w:proofErr w:type="gramStart"/>
      <w:r>
        <w:rPr>
          <w:rFonts w:ascii="Century Gothic" w:eastAsia="Century Gothic" w:hAnsi="Century Gothic" w:cs="Century Gothic"/>
        </w:rPr>
        <w:t>medication  chart</w:t>
      </w:r>
      <w:proofErr w:type="gramEnd"/>
    </w:p>
    <w:p w14:paraId="7FE25497" w14:textId="77777777" w:rsidR="004431CF" w:rsidRDefault="00C23827">
      <w:pPr>
        <w:numPr>
          <w:ilvl w:val="0"/>
          <w:numId w:val="8"/>
        </w:numPr>
        <w:pBdr>
          <w:top w:val="nil"/>
          <w:left w:val="nil"/>
          <w:bottom w:val="nil"/>
          <w:right w:val="nil"/>
          <w:between w:val="nil"/>
        </w:pBdr>
        <w:spacing w:after="0" w:line="360" w:lineRule="auto"/>
        <w:rPr>
          <w:rFonts w:ascii="Century Gothic" w:eastAsia="Century Gothic" w:hAnsi="Century Gothic" w:cs="Century Gothic"/>
          <w:b/>
        </w:rPr>
      </w:pPr>
      <w:bookmarkStart w:id="5" w:name="_heading=h.lg8bzept0b1e" w:colFirst="0" w:colLast="0"/>
      <w:bookmarkEnd w:id="5"/>
      <w:r>
        <w:rPr>
          <w:rFonts w:ascii="Century Gothic" w:eastAsia="Century Gothic" w:hAnsi="Century Gothic" w:cs="Century Gothic"/>
        </w:rPr>
        <w:t xml:space="preserve">Notify </w:t>
      </w:r>
      <w:r>
        <w:rPr>
          <w:rFonts w:ascii="Century Gothic" w:eastAsia="Century Gothic" w:hAnsi="Century Gothic" w:cs="Century Gothic"/>
          <w:color w:val="000000"/>
        </w:rPr>
        <w:t>Clinical Team Manager on Call Must as soon as practical</w:t>
      </w:r>
      <w:r>
        <w:rPr>
          <w:rFonts w:ascii="Century Gothic" w:eastAsia="Century Gothic" w:hAnsi="Century Gothic" w:cs="Century Gothic"/>
        </w:rPr>
        <w:t>.</w:t>
      </w:r>
      <w:r>
        <w:rPr>
          <w:rFonts w:ascii="Century Gothic" w:eastAsia="Century Gothic" w:hAnsi="Century Gothic" w:cs="Century Gothic"/>
          <w:color w:val="000000"/>
        </w:rPr>
        <w:t xml:space="preserve"> An incident report must be completed.  </w:t>
      </w:r>
    </w:p>
    <w:p w14:paraId="28D414F3" w14:textId="77777777" w:rsidR="004431CF" w:rsidRDefault="00C23827">
      <w:pPr>
        <w:numPr>
          <w:ilvl w:val="0"/>
          <w:numId w:val="4"/>
        </w:numPr>
        <w:pBdr>
          <w:top w:val="nil"/>
          <w:left w:val="nil"/>
          <w:bottom w:val="nil"/>
          <w:right w:val="nil"/>
          <w:between w:val="nil"/>
        </w:pBdr>
        <w:spacing w:after="0" w:line="360" w:lineRule="auto"/>
        <w:rPr>
          <w:rFonts w:ascii="Century Gothic" w:eastAsia="Century Gothic" w:hAnsi="Century Gothic" w:cs="Century Gothic"/>
        </w:rPr>
      </w:pPr>
      <w:bookmarkStart w:id="6" w:name="_heading=h.gd1qhuot3nbv" w:colFirst="0" w:colLast="0"/>
      <w:bookmarkEnd w:id="6"/>
      <w:r>
        <w:rPr>
          <w:rFonts w:ascii="Century Gothic" w:eastAsia="Century Gothic" w:hAnsi="Century Gothic" w:cs="Century Gothic"/>
        </w:rPr>
        <w:t>If the count is more than what is documented:</w:t>
      </w:r>
    </w:p>
    <w:p w14:paraId="6B347DEC" w14:textId="77777777" w:rsidR="004431CF" w:rsidRDefault="00C23827">
      <w:pPr>
        <w:numPr>
          <w:ilvl w:val="0"/>
          <w:numId w:val="5"/>
        </w:numPr>
        <w:pBdr>
          <w:top w:val="nil"/>
          <w:left w:val="nil"/>
          <w:bottom w:val="nil"/>
          <w:right w:val="nil"/>
          <w:between w:val="nil"/>
        </w:pBdr>
        <w:spacing w:after="0" w:line="360" w:lineRule="auto"/>
        <w:rPr>
          <w:rFonts w:ascii="Century Gothic" w:eastAsia="Century Gothic" w:hAnsi="Century Gothic" w:cs="Century Gothic"/>
        </w:rPr>
      </w:pPr>
      <w:bookmarkStart w:id="7" w:name="_heading=h.lloex3fvcez" w:colFirst="0" w:colLast="0"/>
      <w:bookmarkEnd w:id="7"/>
      <w:r>
        <w:rPr>
          <w:rFonts w:ascii="Century Gothic" w:eastAsia="Century Gothic" w:hAnsi="Century Gothic" w:cs="Century Gothic"/>
        </w:rPr>
        <w:t>Recheck/</w:t>
      </w:r>
      <w:r>
        <w:rPr>
          <w:rFonts w:ascii="Century Gothic" w:eastAsia="Century Gothic" w:hAnsi="Century Gothic" w:cs="Century Gothic"/>
        </w:rPr>
        <w:t xml:space="preserve">repeat </w:t>
      </w:r>
      <w:proofErr w:type="gramStart"/>
      <w:r>
        <w:rPr>
          <w:rFonts w:ascii="Century Gothic" w:eastAsia="Century Gothic" w:hAnsi="Century Gothic" w:cs="Century Gothic"/>
        </w:rPr>
        <w:t>count</w:t>
      </w:r>
      <w:proofErr w:type="gramEnd"/>
    </w:p>
    <w:p w14:paraId="57CFCA28" w14:textId="77777777" w:rsidR="004431CF" w:rsidRDefault="00C23827">
      <w:pPr>
        <w:numPr>
          <w:ilvl w:val="0"/>
          <w:numId w:val="5"/>
        </w:numPr>
        <w:pBdr>
          <w:top w:val="nil"/>
          <w:left w:val="nil"/>
          <w:bottom w:val="nil"/>
          <w:right w:val="nil"/>
          <w:between w:val="nil"/>
        </w:pBdr>
        <w:spacing w:after="0" w:line="360" w:lineRule="auto"/>
        <w:rPr>
          <w:rFonts w:ascii="Century Gothic" w:eastAsia="Century Gothic" w:hAnsi="Century Gothic" w:cs="Century Gothic"/>
        </w:rPr>
      </w:pPr>
      <w:bookmarkStart w:id="8" w:name="_heading=h.wfeeez1d5f57" w:colFirst="0" w:colLast="0"/>
      <w:bookmarkEnd w:id="8"/>
      <w:r>
        <w:rPr>
          <w:rFonts w:ascii="Century Gothic" w:eastAsia="Century Gothic" w:hAnsi="Century Gothic" w:cs="Century Gothic"/>
        </w:rPr>
        <w:t xml:space="preserve">Check previous counts for </w:t>
      </w:r>
      <w:proofErr w:type="gramStart"/>
      <w:r>
        <w:rPr>
          <w:rFonts w:ascii="Century Gothic" w:eastAsia="Century Gothic" w:hAnsi="Century Gothic" w:cs="Century Gothic"/>
        </w:rPr>
        <w:t>errors</w:t>
      </w:r>
      <w:proofErr w:type="gramEnd"/>
    </w:p>
    <w:p w14:paraId="598B5172" w14:textId="77777777" w:rsidR="004431CF" w:rsidRDefault="00C23827">
      <w:pPr>
        <w:numPr>
          <w:ilvl w:val="0"/>
          <w:numId w:val="5"/>
        </w:numPr>
        <w:pBdr>
          <w:top w:val="nil"/>
          <w:left w:val="nil"/>
          <w:bottom w:val="nil"/>
          <w:right w:val="nil"/>
          <w:between w:val="nil"/>
        </w:pBdr>
        <w:spacing w:after="0" w:line="360" w:lineRule="auto"/>
        <w:rPr>
          <w:rFonts w:ascii="Century Gothic" w:eastAsia="Century Gothic" w:hAnsi="Century Gothic" w:cs="Century Gothic"/>
        </w:rPr>
      </w:pPr>
      <w:bookmarkStart w:id="9" w:name="_heading=h.873ac3b0qsgp" w:colFirst="0" w:colLast="0"/>
      <w:bookmarkEnd w:id="9"/>
      <w:r>
        <w:rPr>
          <w:rFonts w:ascii="Century Gothic" w:eastAsia="Century Gothic" w:hAnsi="Century Gothic" w:cs="Century Gothic"/>
        </w:rPr>
        <w:t xml:space="preserve">Verify any incoming stock/supply that may have not been accounted for on DD </w:t>
      </w:r>
      <w:proofErr w:type="gramStart"/>
      <w:r>
        <w:rPr>
          <w:rFonts w:ascii="Century Gothic" w:eastAsia="Century Gothic" w:hAnsi="Century Gothic" w:cs="Century Gothic"/>
        </w:rPr>
        <w:t>register</w:t>
      </w:r>
      <w:proofErr w:type="gramEnd"/>
    </w:p>
    <w:p w14:paraId="50C0785A" w14:textId="77777777" w:rsidR="004431CF" w:rsidRDefault="00C23827">
      <w:pPr>
        <w:numPr>
          <w:ilvl w:val="0"/>
          <w:numId w:val="5"/>
        </w:numPr>
        <w:pBdr>
          <w:top w:val="nil"/>
          <w:left w:val="nil"/>
          <w:bottom w:val="nil"/>
          <w:right w:val="nil"/>
          <w:between w:val="nil"/>
        </w:pBdr>
        <w:spacing w:line="360" w:lineRule="auto"/>
        <w:rPr>
          <w:rFonts w:ascii="Century Gothic" w:eastAsia="Century Gothic" w:hAnsi="Century Gothic" w:cs="Century Gothic"/>
        </w:rPr>
      </w:pPr>
      <w:bookmarkStart w:id="10" w:name="_heading=h.pqttent6rq1j" w:colFirst="0" w:colLast="0"/>
      <w:bookmarkEnd w:id="10"/>
      <w:r>
        <w:rPr>
          <w:rFonts w:ascii="Century Gothic" w:eastAsia="Century Gothic" w:hAnsi="Century Gothic" w:cs="Century Gothic"/>
        </w:rPr>
        <w:t>Notify the Clinical Manager on Call as soon as practical. Document an incident report for review and process improvement.</w:t>
      </w:r>
    </w:p>
    <w:p w14:paraId="02D5EACB" w14:textId="77777777" w:rsidR="004431CF" w:rsidRDefault="004431CF">
      <w:pPr>
        <w:rPr>
          <w:rFonts w:ascii="Century Gothic" w:eastAsia="Century Gothic" w:hAnsi="Century Gothic" w:cs="Century Gothic"/>
          <w:b/>
        </w:rPr>
      </w:pPr>
    </w:p>
    <w:p w14:paraId="639D15E8" w14:textId="77777777" w:rsidR="004431CF" w:rsidRDefault="00C23827">
      <w:pPr>
        <w:rPr>
          <w:rFonts w:ascii="Century Gothic" w:eastAsia="Century Gothic" w:hAnsi="Century Gothic" w:cs="Century Gothic"/>
          <w:b/>
          <w:sz w:val="28"/>
          <w:szCs w:val="28"/>
        </w:rPr>
      </w:pPr>
      <w:r>
        <w:rPr>
          <w:rFonts w:ascii="Century Gothic" w:eastAsia="Century Gothic" w:hAnsi="Century Gothic" w:cs="Century Gothic"/>
          <w:b/>
        </w:rPr>
        <w:t>Disposal</w:t>
      </w:r>
    </w:p>
    <w:p w14:paraId="1C5E4CE9" w14:textId="77777777" w:rsidR="004431CF" w:rsidRDefault="00C23827">
      <w:pPr>
        <w:spacing w:line="360" w:lineRule="auto"/>
        <w:rPr>
          <w:rFonts w:ascii="Century Gothic" w:eastAsia="Century Gothic" w:hAnsi="Century Gothic" w:cs="Century Gothic"/>
        </w:rPr>
      </w:pPr>
      <w:r>
        <w:rPr>
          <w:rFonts w:ascii="Century Gothic" w:eastAsia="Century Gothic" w:hAnsi="Century Gothic" w:cs="Century Gothic"/>
        </w:rPr>
        <w:t>Pharmacists are authorised to dispose of Scheduled medications that are no longer required, such medications should be retur</w:t>
      </w:r>
      <w:r>
        <w:rPr>
          <w:rFonts w:ascii="Century Gothic" w:eastAsia="Century Gothic" w:hAnsi="Century Gothic" w:cs="Century Gothic"/>
        </w:rPr>
        <w:t xml:space="preserve">ned to the Client’s local dispensing pharmacy for disposal. ICAH Nurses will ensure: </w:t>
      </w:r>
    </w:p>
    <w:p w14:paraId="68B95923" w14:textId="77777777" w:rsidR="004431CF" w:rsidRDefault="00C23827">
      <w:pPr>
        <w:numPr>
          <w:ilvl w:val="0"/>
          <w:numId w:val="9"/>
        </w:numPr>
        <w:pBdr>
          <w:top w:val="nil"/>
          <w:left w:val="nil"/>
          <w:bottom w:val="nil"/>
          <w:right w:val="nil"/>
          <w:between w:val="nil"/>
        </w:pBdr>
        <w:spacing w:after="0" w:line="360" w:lineRule="auto"/>
        <w:rPr>
          <w:rFonts w:ascii="Century Gothic" w:eastAsia="Century Gothic" w:hAnsi="Century Gothic" w:cs="Century Gothic"/>
          <w:color w:val="000000"/>
          <w:sz w:val="28"/>
          <w:szCs w:val="28"/>
        </w:rPr>
      </w:pPr>
      <w:r>
        <w:rPr>
          <w:rFonts w:ascii="Century Gothic" w:eastAsia="Century Gothic" w:hAnsi="Century Gothic" w:cs="Century Gothic"/>
          <w:color w:val="000000"/>
        </w:rPr>
        <w:t>Disposal is recorded in the DD book accordingly.</w:t>
      </w:r>
    </w:p>
    <w:p w14:paraId="299D9365" w14:textId="77777777" w:rsidR="004431CF" w:rsidRDefault="00C23827">
      <w:pPr>
        <w:numPr>
          <w:ilvl w:val="0"/>
          <w:numId w:val="9"/>
        </w:numPr>
        <w:pBdr>
          <w:top w:val="nil"/>
          <w:left w:val="nil"/>
          <w:bottom w:val="nil"/>
          <w:right w:val="nil"/>
          <w:between w:val="nil"/>
        </w:pBdr>
        <w:spacing w:line="360" w:lineRule="auto"/>
        <w:rPr>
          <w:rFonts w:ascii="Arial" w:eastAsia="Arial" w:hAnsi="Arial" w:cs="Arial"/>
          <w:color w:val="000000"/>
          <w:sz w:val="28"/>
          <w:szCs w:val="28"/>
        </w:rPr>
      </w:pPr>
      <w:r>
        <w:rPr>
          <w:rFonts w:ascii="Century Gothic" w:eastAsia="Century Gothic" w:hAnsi="Century Gothic" w:cs="Century Gothic"/>
          <w:color w:val="000000"/>
        </w:rPr>
        <w:t>Team leaders and or Nurse on duty handling the disposal will obtain written confirmation that is signed by both the Pharm</w:t>
      </w:r>
      <w:r>
        <w:rPr>
          <w:rFonts w:ascii="Century Gothic" w:eastAsia="Century Gothic" w:hAnsi="Century Gothic" w:cs="Century Gothic"/>
          <w:color w:val="000000"/>
        </w:rPr>
        <w:t xml:space="preserve">acist and the Nurse doing the disposal and file it in the Client’s record. The confirmation receipt should include the drug name, dosage, </w:t>
      </w:r>
      <w:proofErr w:type="gramStart"/>
      <w:r>
        <w:rPr>
          <w:rFonts w:ascii="Century Gothic" w:eastAsia="Century Gothic" w:hAnsi="Century Gothic" w:cs="Century Gothic"/>
          <w:color w:val="000000"/>
        </w:rPr>
        <w:t>volume</w:t>
      </w:r>
      <w:proofErr w:type="gramEnd"/>
      <w:r>
        <w:rPr>
          <w:rFonts w:ascii="Century Gothic" w:eastAsia="Century Gothic" w:hAnsi="Century Gothic" w:cs="Century Gothic"/>
          <w:color w:val="000000"/>
        </w:rPr>
        <w:t xml:space="preserve"> and strength of medication returned for disposal. The DD register must be updated to reflect medication disposa</w:t>
      </w:r>
      <w:r>
        <w:rPr>
          <w:rFonts w:ascii="Century Gothic" w:eastAsia="Century Gothic" w:hAnsi="Century Gothic" w:cs="Century Gothic"/>
          <w:color w:val="000000"/>
        </w:rPr>
        <w:t xml:space="preserve">l. </w:t>
      </w:r>
    </w:p>
    <w:p w14:paraId="1D2C50F3" w14:textId="77777777" w:rsidR="004431CF" w:rsidRDefault="00C23827">
      <w:pPr>
        <w:rPr>
          <w:rFonts w:ascii="Century Gothic" w:eastAsia="Century Gothic" w:hAnsi="Century Gothic" w:cs="Century Gothic"/>
          <w:b/>
        </w:rPr>
      </w:pPr>
      <w:r>
        <w:rPr>
          <w:rFonts w:ascii="Century Gothic" w:eastAsia="Century Gothic" w:hAnsi="Century Gothic" w:cs="Century Gothic"/>
          <w:b/>
        </w:rPr>
        <w:t>Used Schedule 8 Transdermal Patches.</w:t>
      </w:r>
    </w:p>
    <w:p w14:paraId="482A4A27" w14:textId="77777777" w:rsidR="004431CF" w:rsidRDefault="00C23827">
      <w:pPr>
        <w:spacing w:line="360" w:lineRule="auto"/>
        <w:rPr>
          <w:rFonts w:ascii="Century Gothic" w:eastAsia="Century Gothic" w:hAnsi="Century Gothic" w:cs="Century Gothic"/>
          <w:b/>
        </w:rPr>
      </w:pPr>
      <w:r>
        <w:lastRenderedPageBreak/>
        <w:t xml:space="preserve"> </w:t>
      </w:r>
      <w:r>
        <w:rPr>
          <w:rFonts w:ascii="Century Gothic" w:eastAsia="Century Gothic" w:hAnsi="Century Gothic" w:cs="Century Gothic"/>
        </w:rPr>
        <w:t xml:space="preserve">Special attention must be applied to the discarding of Schedule 8 (fentanyl, buprenorphine) transdermal patches that have been removed from a Client’s skin. Fentanyl patches, even after being used or when expired, </w:t>
      </w:r>
      <w:r>
        <w:rPr>
          <w:rFonts w:ascii="Century Gothic" w:eastAsia="Century Gothic" w:hAnsi="Century Gothic" w:cs="Century Gothic"/>
        </w:rPr>
        <w:t xml:space="preserve">contain sufficient fentanyl to cause life threatening respiratory depression in an opioid-naïve person if absorbed. If in the disposing of fentanyl patches the active layer </w:t>
      </w:r>
      <w:proofErr w:type="gramStart"/>
      <w:r>
        <w:rPr>
          <w:rFonts w:ascii="Century Gothic" w:eastAsia="Century Gothic" w:hAnsi="Century Gothic" w:cs="Century Gothic"/>
        </w:rPr>
        <w:t>come into contact with</w:t>
      </w:r>
      <w:proofErr w:type="gramEnd"/>
      <w:r>
        <w:rPr>
          <w:rFonts w:ascii="Century Gothic" w:eastAsia="Century Gothic" w:hAnsi="Century Gothic" w:cs="Century Gothic"/>
        </w:rPr>
        <w:t xml:space="preserve"> the skin or other body surface, immediately wash off thoroug</w:t>
      </w:r>
      <w:r>
        <w:rPr>
          <w:rFonts w:ascii="Century Gothic" w:eastAsia="Century Gothic" w:hAnsi="Century Gothic" w:cs="Century Gothic"/>
        </w:rPr>
        <w:t xml:space="preserve">hly with soap and water. </w:t>
      </w:r>
      <w:proofErr w:type="gramStart"/>
      <w:r>
        <w:rPr>
          <w:rFonts w:ascii="Century Gothic" w:eastAsia="Century Gothic" w:hAnsi="Century Gothic" w:cs="Century Gothic"/>
        </w:rPr>
        <w:t>Particular care</w:t>
      </w:r>
      <w:proofErr w:type="gramEnd"/>
      <w:r>
        <w:rPr>
          <w:rFonts w:ascii="Century Gothic" w:eastAsia="Century Gothic" w:hAnsi="Century Gothic" w:cs="Century Gothic"/>
        </w:rPr>
        <w:t xml:space="preserve"> must be taken to ensure that a Schedule 8 transdermal patch is not left in the Client’s clothes/bed linen or dropped onto the floor, thereby providing the opportunity for someone, such as a child, to swallow the pat</w:t>
      </w:r>
      <w:r>
        <w:rPr>
          <w:rFonts w:ascii="Century Gothic" w:eastAsia="Century Gothic" w:hAnsi="Century Gothic" w:cs="Century Gothic"/>
        </w:rPr>
        <w:t>ch. The used transdermal patch must be folded in half so that the medication is trapped within the adhesive surface, then disposed of in a ‘sharps’ container. The time of the discarding must be recorded in the Client’s medical chart. Where a Schedule 8 tra</w:t>
      </w:r>
      <w:r>
        <w:rPr>
          <w:rFonts w:ascii="Century Gothic" w:eastAsia="Century Gothic" w:hAnsi="Century Gothic" w:cs="Century Gothic"/>
        </w:rPr>
        <w:t xml:space="preserve">nsdermal patch is found to be missing from the Client, this must be treated as a loss, </w:t>
      </w:r>
      <w:proofErr w:type="gramStart"/>
      <w:r>
        <w:rPr>
          <w:rFonts w:ascii="Century Gothic" w:eastAsia="Century Gothic" w:hAnsi="Century Gothic" w:cs="Century Gothic"/>
        </w:rPr>
        <w:t>documented</w:t>
      </w:r>
      <w:proofErr w:type="gramEnd"/>
      <w:r>
        <w:rPr>
          <w:rFonts w:ascii="Century Gothic" w:eastAsia="Century Gothic" w:hAnsi="Century Gothic" w:cs="Century Gothic"/>
        </w:rPr>
        <w:t xml:space="preserve"> and reported to the Clinical Team. </w:t>
      </w:r>
    </w:p>
    <w:p w14:paraId="196B85C6" w14:textId="77777777" w:rsidR="004431CF" w:rsidRDefault="00C23827">
      <w:pPr>
        <w:spacing w:line="360" w:lineRule="auto"/>
        <w:rPr>
          <w:rFonts w:ascii="Century Gothic" w:eastAsia="Century Gothic" w:hAnsi="Century Gothic" w:cs="Century Gothic"/>
          <w:b/>
        </w:rPr>
      </w:pPr>
      <w:r>
        <w:rPr>
          <w:rFonts w:ascii="Century Gothic" w:eastAsia="Century Gothic" w:hAnsi="Century Gothic" w:cs="Century Gothic"/>
          <w:b/>
        </w:rPr>
        <w:t>Risk Implications</w:t>
      </w:r>
    </w:p>
    <w:p w14:paraId="4CF7BAF8" w14:textId="77777777" w:rsidR="004431CF" w:rsidRDefault="00C23827">
      <w:pPr>
        <w:spacing w:line="360" w:lineRule="auto"/>
        <w:rPr>
          <w:rFonts w:ascii="Century Gothic" w:eastAsia="Century Gothic" w:hAnsi="Century Gothic" w:cs="Century Gothic"/>
          <w:b/>
        </w:rPr>
      </w:pPr>
      <w:r>
        <w:rPr>
          <w:rFonts w:ascii="Century Gothic" w:eastAsia="Century Gothic" w:hAnsi="Century Gothic" w:cs="Century Gothic"/>
        </w:rPr>
        <w:t xml:space="preserve"> S8 and some S4D medicines are often identified as being addictive in nature and have a high potential f</w:t>
      </w:r>
      <w:r>
        <w:rPr>
          <w:rFonts w:ascii="Century Gothic" w:eastAsia="Century Gothic" w:hAnsi="Century Gothic" w:cs="Century Gothic"/>
        </w:rPr>
        <w:t>or abuse. In addition, narcotics and sedative agents are also identified as being high-risk medications with which error or misadventure is more likely to result in devastating outcomes. Measures taken for the control of these medicines at ICAH as outlined</w:t>
      </w:r>
      <w:r>
        <w:rPr>
          <w:rFonts w:ascii="Century Gothic" w:eastAsia="Century Gothic" w:hAnsi="Century Gothic" w:cs="Century Gothic"/>
        </w:rPr>
        <w:t xml:space="preserve"> by this policy, are imposed to ensure Client safety, maximum staff accountability, and to avoid access to medicines for abuse and illegal commerce. Failure to comply with this policy, without providing a good reason for doing so, may</w:t>
      </w:r>
      <w:r>
        <w:t xml:space="preserve"> </w:t>
      </w:r>
      <w:r>
        <w:rPr>
          <w:rFonts w:ascii="Century Gothic" w:eastAsia="Century Gothic" w:hAnsi="Century Gothic" w:cs="Century Gothic"/>
        </w:rPr>
        <w:t xml:space="preserve">lead to disciplinary action. </w:t>
      </w:r>
    </w:p>
    <w:p w14:paraId="56CCA538" w14:textId="77777777" w:rsidR="004431CF" w:rsidRDefault="00C23827">
      <w:pPr>
        <w:rPr>
          <w:rFonts w:ascii="Century Gothic" w:eastAsia="Century Gothic" w:hAnsi="Century Gothic" w:cs="Century Gothic"/>
          <w:b/>
        </w:rPr>
      </w:pPr>
      <w:r>
        <w:rPr>
          <w:rFonts w:ascii="Century Gothic" w:eastAsia="Century Gothic" w:hAnsi="Century Gothic" w:cs="Century Gothic"/>
          <w:b/>
        </w:rPr>
        <w:t>Audit and Compliance</w:t>
      </w:r>
    </w:p>
    <w:p w14:paraId="03EB291E" w14:textId="77777777" w:rsidR="004431CF" w:rsidRDefault="00C23827">
      <w:pPr>
        <w:spacing w:line="360" w:lineRule="auto"/>
        <w:rPr>
          <w:rFonts w:ascii="Century Gothic" w:eastAsia="Century Gothic" w:hAnsi="Century Gothic" w:cs="Century Gothic"/>
          <w:b/>
        </w:rPr>
      </w:pPr>
      <w:r>
        <w:rPr>
          <w:rFonts w:ascii="Century Gothic" w:eastAsia="Century Gothic" w:hAnsi="Century Gothic" w:cs="Century Gothic"/>
        </w:rPr>
        <w:t>The DD registers and all documentation associated with ordering, administering, and the destruction of S8 and S4D medicines will be held as part of the Client record for internal audits and in the event of external audit procedures to ensure compliance wit</w:t>
      </w:r>
      <w:r>
        <w:rPr>
          <w:rFonts w:ascii="Century Gothic" w:eastAsia="Century Gothic" w:hAnsi="Century Gothic" w:cs="Century Gothic"/>
        </w:rPr>
        <w:t xml:space="preserve">h legislative requirements. </w:t>
      </w:r>
    </w:p>
    <w:p w14:paraId="6F951A38" w14:textId="77777777" w:rsidR="004431CF" w:rsidRDefault="00C23827">
      <w:pPr>
        <w:rPr>
          <w:rFonts w:ascii="Arial" w:eastAsia="Arial" w:hAnsi="Arial" w:cs="Arial"/>
          <w:b/>
          <w:sz w:val="28"/>
          <w:szCs w:val="28"/>
        </w:rPr>
      </w:pPr>
      <w:r>
        <w:rPr>
          <w:rFonts w:ascii="Century Gothic" w:eastAsia="Century Gothic" w:hAnsi="Century Gothic" w:cs="Century Gothic"/>
          <w:b/>
        </w:rPr>
        <w:t>References</w:t>
      </w:r>
      <w:r>
        <w:rPr>
          <w:rFonts w:ascii="Arial" w:eastAsia="Arial" w:hAnsi="Arial" w:cs="Arial"/>
          <w:b/>
          <w:sz w:val="28"/>
          <w:szCs w:val="28"/>
        </w:rPr>
        <w:t>:</w:t>
      </w:r>
    </w:p>
    <w:p w14:paraId="461BCAA2" w14:textId="77777777" w:rsidR="004431CF" w:rsidRDefault="00C23827">
      <w:pPr>
        <w:numPr>
          <w:ilvl w:val="0"/>
          <w:numId w:val="1"/>
        </w:numPr>
        <w:pBdr>
          <w:top w:val="nil"/>
          <w:left w:val="nil"/>
          <w:bottom w:val="nil"/>
          <w:right w:val="nil"/>
          <w:between w:val="nil"/>
        </w:pBdr>
        <w:spacing w:after="0"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Drugs, Poisons and Controlled Substances Regulations 2017 S.R. No. 29/2017 </w:t>
      </w:r>
    </w:p>
    <w:p w14:paraId="33397F18" w14:textId="77777777" w:rsidR="004431CF" w:rsidRDefault="00C23827">
      <w:pPr>
        <w:numPr>
          <w:ilvl w:val="0"/>
          <w:numId w:val="1"/>
        </w:numPr>
        <w:pBdr>
          <w:top w:val="nil"/>
          <w:left w:val="nil"/>
          <w:bottom w:val="nil"/>
          <w:right w:val="nil"/>
          <w:between w:val="nil"/>
        </w:pBdr>
        <w:spacing w:after="0" w:line="360" w:lineRule="auto"/>
        <w:rPr>
          <w:rFonts w:ascii="Century Gothic" w:eastAsia="Century Gothic" w:hAnsi="Century Gothic" w:cs="Century Gothic"/>
          <w:color w:val="000000"/>
        </w:rPr>
      </w:pPr>
      <w:r>
        <w:rPr>
          <w:rFonts w:ascii="Century Gothic" w:eastAsia="Century Gothic" w:hAnsi="Century Gothic" w:cs="Century Gothic"/>
          <w:color w:val="000000"/>
        </w:rPr>
        <w:t>Federal Register of Legislation</w:t>
      </w:r>
    </w:p>
    <w:p w14:paraId="3FCD982E" w14:textId="77777777" w:rsidR="004431CF" w:rsidRDefault="00C23827">
      <w:pPr>
        <w:numPr>
          <w:ilvl w:val="0"/>
          <w:numId w:val="1"/>
        </w:numPr>
        <w:pBdr>
          <w:top w:val="nil"/>
          <w:left w:val="nil"/>
          <w:bottom w:val="nil"/>
          <w:right w:val="nil"/>
          <w:between w:val="nil"/>
        </w:pBdr>
        <w:spacing w:after="0" w:line="360" w:lineRule="auto"/>
        <w:rPr>
          <w:rFonts w:ascii="Century Gothic" w:eastAsia="Century Gothic" w:hAnsi="Century Gothic" w:cs="Century Gothic"/>
          <w:color w:val="000000"/>
        </w:rPr>
      </w:pPr>
      <w:r>
        <w:rPr>
          <w:rFonts w:ascii="Century Gothic" w:eastAsia="Century Gothic" w:hAnsi="Century Gothic" w:cs="Century Gothic"/>
          <w:color w:val="000000"/>
        </w:rPr>
        <w:t>Poisons Standard Feb 2018</w:t>
      </w:r>
    </w:p>
    <w:p w14:paraId="4D53FC18" w14:textId="77777777" w:rsidR="004431CF" w:rsidRDefault="00C23827">
      <w:pPr>
        <w:numPr>
          <w:ilvl w:val="0"/>
          <w:numId w:val="1"/>
        </w:numPr>
        <w:pBdr>
          <w:top w:val="nil"/>
          <w:left w:val="nil"/>
          <w:bottom w:val="nil"/>
          <w:right w:val="nil"/>
          <w:between w:val="nil"/>
        </w:pBdr>
        <w:spacing w:after="0" w:line="360" w:lineRule="auto"/>
        <w:rPr>
          <w:rFonts w:ascii="Century Gothic" w:eastAsia="Century Gothic" w:hAnsi="Century Gothic" w:cs="Century Gothic"/>
          <w:color w:val="000000"/>
        </w:rPr>
      </w:pPr>
      <w:r>
        <w:rPr>
          <w:rFonts w:ascii="Century Gothic" w:eastAsia="Century Gothic" w:hAnsi="Century Gothic" w:cs="Century Gothic"/>
          <w:color w:val="000000"/>
        </w:rPr>
        <w:lastRenderedPageBreak/>
        <w:t>The Royal Hospital for Women, 2016. Clinical Policies, Procedures and Guidelines.</w:t>
      </w:r>
      <w:r>
        <w:rPr>
          <w:rFonts w:ascii="Century Gothic" w:eastAsia="Century Gothic" w:hAnsi="Century Gothic" w:cs="Century Gothic"/>
          <w:color w:val="000000"/>
        </w:rPr>
        <w:t xml:space="preserve"> </w:t>
      </w:r>
    </w:p>
    <w:p w14:paraId="29FB0753" w14:textId="77777777" w:rsidR="004431CF" w:rsidRDefault="00C23827">
      <w:pPr>
        <w:numPr>
          <w:ilvl w:val="0"/>
          <w:numId w:val="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Department of Health, 2020. Scheduled Medicines. Available from: http://www2.health.vic.gov.au/public-health/drugs-and…/scheduled -</w:t>
      </w:r>
      <w:proofErr w:type="gramStart"/>
      <w:r>
        <w:rPr>
          <w:rFonts w:ascii="Century Gothic" w:eastAsia="Century Gothic" w:hAnsi="Century Gothic" w:cs="Century Gothic"/>
          <w:color w:val="000000"/>
        </w:rPr>
        <w:t>medicines</w:t>
      </w:r>
      <w:proofErr w:type="gramEnd"/>
    </w:p>
    <w:p w14:paraId="1E54D67E" w14:textId="77777777" w:rsidR="004431CF" w:rsidRDefault="00C23827">
      <w:pPr>
        <w:numPr>
          <w:ilvl w:val="0"/>
          <w:numId w:val="2"/>
        </w:numPr>
        <w:pBdr>
          <w:top w:val="nil"/>
          <w:left w:val="nil"/>
          <w:bottom w:val="nil"/>
          <w:right w:val="nil"/>
          <w:between w:val="nil"/>
        </w:pBdr>
        <w:spacing w:after="0" w:line="360" w:lineRule="auto"/>
        <w:rPr>
          <w:rFonts w:ascii="Century Gothic" w:eastAsia="Century Gothic" w:hAnsi="Century Gothic" w:cs="Century Gothic"/>
          <w:color w:val="000000"/>
        </w:rPr>
      </w:pPr>
      <w:bookmarkStart w:id="11" w:name="_heading=h.gjdgxs" w:colFirst="0" w:colLast="0"/>
      <w:bookmarkEnd w:id="11"/>
      <w:r>
        <w:rPr>
          <w:rFonts w:ascii="Century Gothic" w:eastAsia="Century Gothic" w:hAnsi="Century Gothic" w:cs="Century Gothic"/>
          <w:color w:val="000000"/>
        </w:rPr>
        <w:t>Australian Commission on Safety and Quality in Health Care, 2020. Available from:</w:t>
      </w:r>
      <w:r>
        <w:rPr>
          <w:color w:val="000000"/>
        </w:rPr>
        <w:t xml:space="preserve"> </w:t>
      </w:r>
      <w:hyperlink r:id="rId9">
        <w:r>
          <w:rPr>
            <w:rFonts w:ascii="Century Gothic" w:eastAsia="Century Gothic" w:hAnsi="Century Gothic" w:cs="Century Gothic"/>
            <w:color w:val="0563C1"/>
            <w:u w:val="single"/>
          </w:rPr>
          <w:t>https://www.safetyandquality.gov.au/standards/nsqhs-standards/medication-safety-standard</w:t>
        </w:r>
      </w:hyperlink>
    </w:p>
    <w:p w14:paraId="37B5635C" w14:textId="77777777" w:rsidR="004431CF" w:rsidRDefault="00C23827">
      <w:pPr>
        <w:numPr>
          <w:ilvl w:val="0"/>
          <w:numId w:val="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Department of Health Western Australia, 2020. Guideline on administration and record keeping for schedule 4 restricted and schedule 8 medicines. Available from: </w:t>
      </w:r>
      <w:hyperlink r:id="rId10">
        <w:r>
          <w:rPr>
            <w:rFonts w:ascii="Century Gothic" w:eastAsia="Century Gothic" w:hAnsi="Century Gothic" w:cs="Century Gothic"/>
            <w:color w:val="0563C1"/>
            <w:u w:val="single"/>
          </w:rPr>
          <w:t>http://ww2.health.wa.gov.au</w:t>
        </w:r>
      </w:hyperlink>
    </w:p>
    <w:p w14:paraId="44B1941E" w14:textId="77777777" w:rsidR="004431CF" w:rsidRDefault="004431CF">
      <w:pPr>
        <w:spacing w:line="360" w:lineRule="auto"/>
        <w:ind w:left="360"/>
        <w:rPr>
          <w:rFonts w:ascii="Century Gothic" w:eastAsia="Century Gothic" w:hAnsi="Century Gothic" w:cs="Century Gothic"/>
        </w:rPr>
      </w:pPr>
    </w:p>
    <w:p w14:paraId="6B8C189D" w14:textId="77777777" w:rsidR="004431CF" w:rsidRDefault="004431CF">
      <w:pPr>
        <w:rPr>
          <w:rFonts w:ascii="Century Gothic" w:eastAsia="Century Gothic" w:hAnsi="Century Gothic" w:cs="Century Gothic"/>
          <w:b/>
        </w:rPr>
      </w:pPr>
      <w:bookmarkStart w:id="12" w:name="_heading=h.30j0zll" w:colFirst="0" w:colLast="0"/>
      <w:bookmarkEnd w:id="12"/>
    </w:p>
    <w:sectPr w:rsidR="004431CF">
      <w:headerReference w:type="default" r:id="rId11"/>
      <w:footerReference w:type="defaul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2D9DA0" w14:textId="77777777" w:rsidR="00C23827" w:rsidRDefault="00C23827">
      <w:pPr>
        <w:spacing w:after="0" w:line="240" w:lineRule="auto"/>
      </w:pPr>
      <w:r>
        <w:separator/>
      </w:r>
    </w:p>
  </w:endnote>
  <w:endnote w:type="continuationSeparator" w:id="0">
    <w:p w14:paraId="3872CEDA" w14:textId="77777777" w:rsidR="00C23827" w:rsidRDefault="00C23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auto"/>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3E63B" w14:textId="77777777" w:rsidR="004431CF" w:rsidRDefault="00C2382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Cambria" w:eastAsia="Cambria" w:hAnsi="Cambria" w:cs="Cambria"/>
        <w:color w:val="000000"/>
        <w:sz w:val="24"/>
        <w:szCs w:val="24"/>
      </w:rPr>
      <w:t xml:space="preserve">© Intensive Care at Home Doc 15.1.1V2.0 Approved </w:t>
    </w:r>
    <w:proofErr w:type="spellStart"/>
    <w:r>
      <w:rPr>
        <w:rFonts w:ascii="Cambria" w:eastAsia="Cambria" w:hAnsi="Cambria" w:cs="Cambria"/>
        <w:color w:val="000000"/>
        <w:sz w:val="24"/>
        <w:szCs w:val="24"/>
      </w:rPr>
      <w:t>PHutzel</w:t>
    </w:r>
    <w:proofErr w:type="spellEnd"/>
  </w:p>
  <w:p w14:paraId="65E439F3" w14:textId="77777777" w:rsidR="004431CF" w:rsidRDefault="004431CF">
    <w:pPr>
      <w:pBdr>
        <w:top w:val="nil"/>
        <w:left w:val="nil"/>
        <w:bottom w:val="nil"/>
        <w:right w:val="nil"/>
        <w:between w:val="nil"/>
      </w:pBdr>
      <w:tabs>
        <w:tab w:val="center" w:pos="4513"/>
        <w:tab w:val="right" w:pos="9026"/>
      </w:tabs>
      <w:spacing w:after="0" w:line="240" w:lineRule="auto"/>
      <w:rPr>
        <w:color w:val="000000"/>
      </w:rPr>
    </w:pPr>
  </w:p>
  <w:p w14:paraId="7F901B48" w14:textId="77777777" w:rsidR="004431CF" w:rsidRDefault="004431C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73A04F" w14:textId="77777777" w:rsidR="00C23827" w:rsidRDefault="00C23827">
      <w:pPr>
        <w:spacing w:after="0" w:line="240" w:lineRule="auto"/>
      </w:pPr>
      <w:r>
        <w:separator/>
      </w:r>
    </w:p>
  </w:footnote>
  <w:footnote w:type="continuationSeparator" w:id="0">
    <w:p w14:paraId="15DF194F" w14:textId="77777777" w:rsidR="00C23827" w:rsidRDefault="00C23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7FEE67" w14:textId="77777777" w:rsidR="004431CF" w:rsidRDefault="00C23827">
    <w:pPr>
      <w:pBdr>
        <w:top w:val="nil"/>
        <w:left w:val="nil"/>
        <w:bottom w:val="nil"/>
        <w:right w:val="nil"/>
        <w:between w:val="nil"/>
      </w:pBdr>
      <w:tabs>
        <w:tab w:val="center" w:pos="4513"/>
        <w:tab w:val="right" w:pos="9026"/>
      </w:tabs>
      <w:spacing w:after="0" w:line="240" w:lineRule="auto"/>
      <w:rPr>
        <w:rFonts w:ascii="Century Gothic" w:eastAsia="Century Gothic" w:hAnsi="Century Gothic" w:cs="Century Gothic"/>
        <w:color w:val="000000"/>
      </w:rPr>
    </w:pPr>
    <w:r>
      <w:rPr>
        <w:rFonts w:ascii="Century Gothic" w:eastAsia="Century Gothic" w:hAnsi="Century Gothic" w:cs="Century Gothic"/>
        <w:color w:val="000000"/>
      </w:rPr>
      <w:t>15.1.1 S4 and S8 Drug Management and Safety</w:t>
    </w:r>
  </w:p>
  <w:p w14:paraId="0BE98AD0" w14:textId="77777777" w:rsidR="004431CF" w:rsidRDefault="004431CF">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263336"/>
    <w:multiLevelType w:val="multilevel"/>
    <w:tmpl w:val="56D47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E449A7"/>
    <w:multiLevelType w:val="multilevel"/>
    <w:tmpl w:val="56D47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31B32F5"/>
    <w:multiLevelType w:val="multilevel"/>
    <w:tmpl w:val="56D47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A2E0B6A"/>
    <w:multiLevelType w:val="multilevel"/>
    <w:tmpl w:val="21A65972"/>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4" w15:restartNumberingAfterBreak="0">
    <w:nsid w:val="59D17B3F"/>
    <w:multiLevelType w:val="multilevel"/>
    <w:tmpl w:val="D1A0721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669F26C8"/>
    <w:multiLevelType w:val="multilevel"/>
    <w:tmpl w:val="56D47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9A2309F"/>
    <w:multiLevelType w:val="multilevel"/>
    <w:tmpl w:val="FF1425E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6B0D1753"/>
    <w:multiLevelType w:val="multilevel"/>
    <w:tmpl w:val="16F05EA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73C06E15"/>
    <w:multiLevelType w:val="multilevel"/>
    <w:tmpl w:val="56D47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5"/>
  </w:num>
  <w:num w:numId="3">
    <w:abstractNumId w:val="8"/>
  </w:num>
  <w:num w:numId="4">
    <w:abstractNumId w:val="6"/>
  </w:num>
  <w:num w:numId="5">
    <w:abstractNumId w:val="4"/>
  </w:num>
  <w:num w:numId="6">
    <w:abstractNumId w:val="1"/>
  </w:num>
  <w:num w:numId="7">
    <w:abstractNumId w:val="3"/>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1CF"/>
    <w:rsid w:val="004431CF"/>
    <w:rsid w:val="00C23827"/>
    <w:rsid w:val="00CF43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6363B"/>
  <w15:docId w15:val="{6EC65A62-CB28-4C5F-84A0-768C5DBA0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1E2A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2AC9"/>
  </w:style>
  <w:style w:type="paragraph" w:styleId="Footer">
    <w:name w:val="footer"/>
    <w:basedOn w:val="Normal"/>
    <w:link w:val="FooterChar"/>
    <w:uiPriority w:val="99"/>
    <w:unhideWhenUsed/>
    <w:rsid w:val="001E2A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2AC9"/>
  </w:style>
  <w:style w:type="paragraph" w:styleId="NormalWeb">
    <w:name w:val="Normal (Web)"/>
    <w:basedOn w:val="Normal"/>
    <w:uiPriority w:val="99"/>
    <w:semiHidden/>
    <w:unhideWhenUsed/>
    <w:rsid w:val="001E2AC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231DE1"/>
    <w:pPr>
      <w:ind w:left="720"/>
      <w:contextualSpacing/>
    </w:pPr>
  </w:style>
  <w:style w:type="character" w:styleId="Hyperlink">
    <w:name w:val="Hyperlink"/>
    <w:basedOn w:val="DefaultParagraphFont"/>
    <w:uiPriority w:val="99"/>
    <w:unhideWhenUsed/>
    <w:rsid w:val="005C709E"/>
    <w:rPr>
      <w:color w:val="0563C1" w:themeColor="hyperlink"/>
      <w:u w:val="single"/>
    </w:rPr>
  </w:style>
  <w:style w:type="character" w:styleId="UnresolvedMention">
    <w:name w:val="Unresolved Mention"/>
    <w:basedOn w:val="DefaultParagraphFont"/>
    <w:uiPriority w:val="99"/>
    <w:semiHidden/>
    <w:unhideWhenUsed/>
    <w:rsid w:val="005C709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2.health.wa.gov.au" TargetMode="External"/><Relationship Id="rId4" Type="http://schemas.openxmlformats.org/officeDocument/2006/relationships/settings" Target="settings.xml"/><Relationship Id="rId9" Type="http://schemas.openxmlformats.org/officeDocument/2006/relationships/hyperlink" Target="https://www.safetyandquality.gov.au/standards/nsqhs-standards/medication-safety-standar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28avQJRWcN2bTsistWDGlzp24sw==">AMUW2mXytLcwAWdX6MKDs6nHU7pMUae11fHoOpVMD0eJCoEEYh/abWjFJVt+J+1MbGl/spoXd0vLissRf6CJgB9ezw713gTmczNBaTes71I53JICDleBnzNe71kicZ2+1zRW6Zc7+wY0TIW0GA8zhNGpp4m6m8f8vanEUmuKqD2HxoycYiZGfKpt1TjzyDss7EMgDDziaDGLYOCqw9hlQRjgAeuaKoFZKw41PcBL1nP3YrTSUrrjM6t1j4Wrvc/vP7HwCvm6unYRs5SQ42rZ1OUILU+Tn7uEiYBUaMwcPYXjYGh3iZiom5ZXVqBniS7gVK3TiF88sV9IkjhHdyXGJ/JWIQojNr/isEQO2vsORSiCHi6XAjtD954p+8TjOVvzmvFHnq75Ywo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1237</Words>
  <Characters>7055</Characters>
  <Application>Microsoft Office Word</Application>
  <DocSecurity>0</DocSecurity>
  <Lines>58</Lines>
  <Paragraphs>16</Paragraphs>
  <ScaleCrop>false</ScaleCrop>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wandabwa</dc:creator>
  <cp:lastModifiedBy>lydia wandabwa</cp:lastModifiedBy>
  <cp:revision>2</cp:revision>
  <dcterms:created xsi:type="dcterms:W3CDTF">2021-06-04T07:54:00Z</dcterms:created>
  <dcterms:modified xsi:type="dcterms:W3CDTF">2021-06-04T07:54:00Z</dcterms:modified>
</cp:coreProperties>
</file>